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8494" w14:textId="58973327" w:rsidR="006238A4" w:rsidRPr="008808E5" w:rsidRDefault="003E01AD" w:rsidP="008808E5">
      <w:pPr>
        <w:jc w:val="center"/>
        <w:rPr>
          <w:b/>
          <w:bCs/>
          <w:sz w:val="36"/>
          <w:szCs w:val="36"/>
        </w:rPr>
      </w:pPr>
      <w:r w:rsidRPr="008808E5">
        <w:rPr>
          <w:b/>
          <w:bCs/>
          <w:sz w:val="36"/>
          <w:szCs w:val="36"/>
        </w:rPr>
        <w:t>Training assessment panel 2023</w:t>
      </w:r>
    </w:p>
    <w:p w14:paraId="31BDB1FC" w14:textId="5561DC00" w:rsidR="003E01AD" w:rsidRDefault="003E01AD" w:rsidP="008808E5">
      <w:pPr>
        <w:jc w:val="center"/>
      </w:pPr>
    </w:p>
    <w:p w14:paraId="2641C278" w14:textId="75F7B87F" w:rsidR="003E01AD" w:rsidRDefault="003E01AD">
      <w:r>
        <w:t>With the introduction of the new curriculum in August 2022</w:t>
      </w:r>
      <w:r w:rsidR="002920A7">
        <w:t>,</w:t>
      </w:r>
      <w:r>
        <w:t xml:space="preserve"> the </w:t>
      </w:r>
      <w:r w:rsidR="002920A7">
        <w:t xml:space="preserve">recommended </w:t>
      </w:r>
      <w:r>
        <w:t xml:space="preserve">minimum </w:t>
      </w:r>
      <w:r w:rsidR="002920A7">
        <w:t xml:space="preserve">requirements </w:t>
      </w:r>
      <w:r>
        <w:t>to achieve a successful</w:t>
      </w:r>
      <w:r w:rsidR="001806BD">
        <w:t xml:space="preserve"> outcome at the Training Assessment </w:t>
      </w:r>
      <w:r>
        <w:t>P</w:t>
      </w:r>
      <w:r w:rsidR="001806BD">
        <w:t>anel</w:t>
      </w:r>
      <w:r>
        <w:t xml:space="preserve"> </w:t>
      </w:r>
      <w:r w:rsidR="002920A7">
        <w:t xml:space="preserve">will </w:t>
      </w:r>
      <w:r>
        <w:t>have changed for trainees</w:t>
      </w:r>
      <w:r w:rsidR="002920A7">
        <w:t xml:space="preserve"> that chose to transition from the 2015 to the 2022 curriculum</w:t>
      </w:r>
      <w:r>
        <w:t>.</w:t>
      </w:r>
    </w:p>
    <w:p w14:paraId="23393794" w14:textId="32E3CFF2" w:rsidR="003E01AD" w:rsidRDefault="003E01AD">
      <w:r>
        <w:t>This guidance note clarif</w:t>
      </w:r>
      <w:r w:rsidR="002920A7">
        <w:t>ies</w:t>
      </w:r>
      <w:r>
        <w:t xml:space="preserve"> the </w:t>
      </w:r>
      <w:r w:rsidR="002920A7">
        <w:t xml:space="preserve">new </w:t>
      </w:r>
      <w:r>
        <w:t>requirements.</w:t>
      </w:r>
    </w:p>
    <w:p w14:paraId="4B0D3B8B" w14:textId="55B2219B" w:rsidR="003E01AD" w:rsidRDefault="003E01AD"/>
    <w:p w14:paraId="2DC0168B" w14:textId="5A9E3DB1" w:rsidR="003E01AD" w:rsidRDefault="003E01AD" w:rsidP="003E01AD">
      <w:pPr>
        <w:pStyle w:val="ListParagraph"/>
        <w:numPr>
          <w:ilvl w:val="0"/>
          <w:numId w:val="1"/>
        </w:numPr>
      </w:pPr>
      <w:r>
        <w:t xml:space="preserve">For </w:t>
      </w:r>
      <w:r w:rsidR="004B0A66">
        <w:t xml:space="preserve">trainees </w:t>
      </w:r>
      <w:r>
        <w:t>who started on the 2015 curriculum and have chosen to remain on this curriculum</w:t>
      </w:r>
      <w:r w:rsidR="002920A7">
        <w:t>,</w:t>
      </w:r>
      <w:r>
        <w:t xml:space="preserve"> the minimum WPBA requirements are</w:t>
      </w:r>
      <w:r w:rsidR="002920A7">
        <w:t>:</w:t>
      </w:r>
    </w:p>
    <w:p w14:paraId="5B6CDD2F" w14:textId="77777777" w:rsidR="00EF117D" w:rsidRDefault="00EF117D" w:rsidP="00EF117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8"/>
        <w:gridCol w:w="1043"/>
        <w:gridCol w:w="1038"/>
        <w:gridCol w:w="1062"/>
        <w:gridCol w:w="1046"/>
        <w:gridCol w:w="1060"/>
        <w:gridCol w:w="1024"/>
      </w:tblGrid>
      <w:tr w:rsidR="00EF117D" w14:paraId="33B59626" w14:textId="77777777" w:rsidTr="00EF117D">
        <w:tc>
          <w:tcPr>
            <w:tcW w:w="1038" w:type="dxa"/>
            <w:shd w:val="clear" w:color="auto" w:fill="7030A0"/>
          </w:tcPr>
          <w:p w14:paraId="34B32F3E" w14:textId="3A2BB7E8" w:rsidR="00EF117D" w:rsidRPr="00EF117D" w:rsidRDefault="00EF117D" w:rsidP="007A55ED">
            <w:pPr>
              <w:pStyle w:val="ListParagraph"/>
              <w:ind w:left="0"/>
              <w:rPr>
                <w:color w:val="FFFFFF" w:themeColor="background1"/>
              </w:rPr>
            </w:pPr>
            <w:r w:rsidRPr="00EF117D">
              <w:rPr>
                <w:color w:val="FFFFFF" w:themeColor="background1"/>
              </w:rPr>
              <w:t>CEX</w:t>
            </w:r>
          </w:p>
        </w:tc>
        <w:tc>
          <w:tcPr>
            <w:tcW w:w="1043" w:type="dxa"/>
            <w:shd w:val="clear" w:color="auto" w:fill="7030A0"/>
          </w:tcPr>
          <w:p w14:paraId="59281B0A" w14:textId="03337D07" w:rsidR="00EF117D" w:rsidRPr="00EF117D" w:rsidRDefault="00EF117D" w:rsidP="007A55ED">
            <w:pPr>
              <w:pStyle w:val="ListParagraph"/>
              <w:ind w:left="0"/>
              <w:rPr>
                <w:color w:val="FFFFFF" w:themeColor="background1"/>
              </w:rPr>
            </w:pPr>
            <w:r w:rsidRPr="00EF117D">
              <w:rPr>
                <w:color w:val="FFFFFF" w:themeColor="background1"/>
              </w:rPr>
              <w:t>CBD</w:t>
            </w:r>
          </w:p>
        </w:tc>
        <w:tc>
          <w:tcPr>
            <w:tcW w:w="1038" w:type="dxa"/>
            <w:shd w:val="clear" w:color="auto" w:fill="7030A0"/>
          </w:tcPr>
          <w:p w14:paraId="72A22D57" w14:textId="1372D7D0" w:rsidR="00EF117D" w:rsidRPr="00EF117D" w:rsidRDefault="00EF117D" w:rsidP="007A55ED">
            <w:pPr>
              <w:pStyle w:val="ListParagraph"/>
              <w:ind w:left="0"/>
              <w:rPr>
                <w:color w:val="FFFFFF" w:themeColor="background1"/>
              </w:rPr>
            </w:pPr>
            <w:r w:rsidRPr="00EF117D">
              <w:rPr>
                <w:color w:val="FFFFFF" w:themeColor="background1"/>
              </w:rPr>
              <w:t>SIM</w:t>
            </w:r>
          </w:p>
        </w:tc>
        <w:tc>
          <w:tcPr>
            <w:tcW w:w="1062" w:type="dxa"/>
            <w:shd w:val="clear" w:color="auto" w:fill="7030A0"/>
          </w:tcPr>
          <w:p w14:paraId="52B25339" w14:textId="58A103E6" w:rsidR="00EF117D" w:rsidRPr="00EF117D" w:rsidRDefault="00EF117D" w:rsidP="007A55ED">
            <w:pPr>
              <w:pStyle w:val="ListParagraph"/>
              <w:ind w:left="0"/>
              <w:rPr>
                <w:color w:val="FFFFFF" w:themeColor="background1"/>
              </w:rPr>
            </w:pPr>
            <w:r w:rsidRPr="00EF117D">
              <w:rPr>
                <w:color w:val="FFFFFF" w:themeColor="background1"/>
              </w:rPr>
              <w:t>DOPS</w:t>
            </w:r>
          </w:p>
        </w:tc>
        <w:tc>
          <w:tcPr>
            <w:tcW w:w="1046" w:type="dxa"/>
            <w:shd w:val="clear" w:color="auto" w:fill="7030A0"/>
          </w:tcPr>
          <w:p w14:paraId="1E2F8BD9" w14:textId="3EDA28EA" w:rsidR="00EF117D" w:rsidRPr="00EF117D" w:rsidRDefault="00EF117D" w:rsidP="007A55ED">
            <w:pPr>
              <w:pStyle w:val="ListParagraph"/>
              <w:ind w:left="0"/>
              <w:rPr>
                <w:color w:val="FFFFFF" w:themeColor="background1"/>
              </w:rPr>
            </w:pPr>
            <w:r w:rsidRPr="00EF117D">
              <w:rPr>
                <w:color w:val="FFFFFF" w:themeColor="background1"/>
              </w:rPr>
              <w:t>MSF</w:t>
            </w:r>
          </w:p>
        </w:tc>
        <w:tc>
          <w:tcPr>
            <w:tcW w:w="1060" w:type="dxa"/>
            <w:shd w:val="clear" w:color="auto" w:fill="7030A0"/>
          </w:tcPr>
          <w:p w14:paraId="2114CB04" w14:textId="4AB8A3E7" w:rsidR="00EF117D" w:rsidRPr="00EF117D" w:rsidRDefault="00EF117D" w:rsidP="007A55ED">
            <w:pPr>
              <w:pStyle w:val="ListParagraph"/>
              <w:ind w:left="0"/>
              <w:rPr>
                <w:color w:val="FFFFFF" w:themeColor="background1"/>
              </w:rPr>
            </w:pPr>
            <w:r w:rsidRPr="00EF117D">
              <w:rPr>
                <w:color w:val="FFFFFF" w:themeColor="background1"/>
              </w:rPr>
              <w:t>OSAT</w:t>
            </w:r>
          </w:p>
        </w:tc>
        <w:tc>
          <w:tcPr>
            <w:tcW w:w="1024" w:type="dxa"/>
            <w:shd w:val="clear" w:color="auto" w:fill="7030A0"/>
          </w:tcPr>
          <w:p w14:paraId="35BD215C" w14:textId="20978C2F" w:rsidR="00EF117D" w:rsidRPr="00EF117D" w:rsidRDefault="00EF117D" w:rsidP="007A55ED">
            <w:pPr>
              <w:pStyle w:val="ListParagraph"/>
              <w:ind w:left="0"/>
              <w:rPr>
                <w:color w:val="FFFFFF" w:themeColor="background1"/>
              </w:rPr>
            </w:pPr>
            <w:r w:rsidRPr="00EF117D">
              <w:rPr>
                <w:color w:val="FFFFFF" w:themeColor="background1"/>
              </w:rPr>
              <w:t>TO</w:t>
            </w:r>
          </w:p>
        </w:tc>
      </w:tr>
      <w:tr w:rsidR="00EF117D" w14:paraId="5C2D8935" w14:textId="77777777" w:rsidTr="00EF117D">
        <w:tc>
          <w:tcPr>
            <w:tcW w:w="1038" w:type="dxa"/>
          </w:tcPr>
          <w:p w14:paraId="409C013D" w14:textId="32C1A9A8" w:rsidR="00EF117D" w:rsidRDefault="00EF117D" w:rsidP="007A55ED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043" w:type="dxa"/>
          </w:tcPr>
          <w:p w14:paraId="3BE86989" w14:textId="0576358D" w:rsidR="00EF117D" w:rsidRDefault="00EF117D" w:rsidP="007A55ED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1038" w:type="dxa"/>
          </w:tcPr>
          <w:p w14:paraId="5E258795" w14:textId="1891E668" w:rsidR="00EF117D" w:rsidRDefault="00EF117D" w:rsidP="007A55ED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062" w:type="dxa"/>
          </w:tcPr>
          <w:p w14:paraId="60CF3EA9" w14:textId="4283512A" w:rsidR="00EF117D" w:rsidRDefault="00EF117D" w:rsidP="007A55ED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1046" w:type="dxa"/>
          </w:tcPr>
          <w:p w14:paraId="09A3C9F1" w14:textId="42CDA222" w:rsidR="00EF117D" w:rsidRDefault="00EF117D" w:rsidP="007A55E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60" w:type="dxa"/>
          </w:tcPr>
          <w:p w14:paraId="6B86CF48" w14:textId="3A9C3C1B" w:rsidR="00EF117D" w:rsidRDefault="00EF117D" w:rsidP="007A55ED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024" w:type="dxa"/>
          </w:tcPr>
          <w:p w14:paraId="2DCAE7DB" w14:textId="16BAA97C" w:rsidR="00EF117D" w:rsidRDefault="00EF117D" w:rsidP="007A55ED">
            <w:pPr>
              <w:pStyle w:val="ListParagraph"/>
              <w:ind w:left="0"/>
            </w:pPr>
            <w:r>
              <w:t>5</w:t>
            </w:r>
          </w:p>
        </w:tc>
      </w:tr>
    </w:tbl>
    <w:p w14:paraId="6F6710FD" w14:textId="43195644" w:rsidR="003E01AD" w:rsidRDefault="003E01AD" w:rsidP="003E01AD"/>
    <w:p w14:paraId="54541D83" w14:textId="4E0F0E6E" w:rsidR="003E01AD" w:rsidRDefault="003E01AD" w:rsidP="003E01AD">
      <w:r>
        <w:t>Previously</w:t>
      </w:r>
      <w:r w:rsidR="002920A7">
        <w:t>,</w:t>
      </w:r>
      <w:r>
        <w:t xml:space="preserve"> </w:t>
      </w:r>
      <w:r w:rsidR="0095602D">
        <w:t>IBTPHEM and the parent colleges</w:t>
      </w:r>
      <w:r>
        <w:t xml:space="preserve"> had </w:t>
      </w:r>
      <w:r w:rsidR="0095602D">
        <w:t>supported</w:t>
      </w:r>
      <w:r>
        <w:t xml:space="preserve"> some derogations to these minima for </w:t>
      </w:r>
      <w:r w:rsidR="0095602D">
        <w:t>trainees</w:t>
      </w:r>
      <w:r>
        <w:t xml:space="preserve"> where the COVID</w:t>
      </w:r>
      <w:r w:rsidR="002920A7">
        <w:t>-</w:t>
      </w:r>
      <w:r>
        <w:t xml:space="preserve">19 pandemic had impacted </w:t>
      </w:r>
      <w:r w:rsidR="0095602D">
        <w:t xml:space="preserve">on </w:t>
      </w:r>
      <w:r>
        <w:t xml:space="preserve">the delivery of </w:t>
      </w:r>
      <w:r w:rsidR="0095602D">
        <w:t xml:space="preserve">their </w:t>
      </w:r>
      <w:r>
        <w:t>training. Whilst the COVID</w:t>
      </w:r>
      <w:r w:rsidR="002920A7">
        <w:t>-</w:t>
      </w:r>
      <w:r>
        <w:t>19 pandemic continues</w:t>
      </w:r>
      <w:r w:rsidR="002920A7">
        <w:t>,</w:t>
      </w:r>
      <w:r>
        <w:t xml:space="preserve"> the </w:t>
      </w:r>
      <w:r w:rsidR="0095602D">
        <w:t xml:space="preserve">impact on training is minimal </w:t>
      </w:r>
      <w:r w:rsidR="00A95665">
        <w:t>and</w:t>
      </w:r>
      <w:r w:rsidR="0095602D">
        <w:t xml:space="preserve"> therefore the derogations are </w:t>
      </w:r>
      <w:r w:rsidR="00E53CFB">
        <w:t xml:space="preserve">no longer </w:t>
      </w:r>
      <w:r w:rsidR="0095602D">
        <w:t>required.</w:t>
      </w:r>
    </w:p>
    <w:p w14:paraId="04CED25D" w14:textId="32A968E1" w:rsidR="00BD0798" w:rsidRDefault="00BD0798" w:rsidP="003E01AD">
      <w:r>
        <w:t>The portfolio should be mapped to the curriculum</w:t>
      </w:r>
      <w:r w:rsidR="00E97C32">
        <w:t xml:space="preserve"> and demonstrate good curriculum coverage</w:t>
      </w:r>
      <w:r w:rsidR="00862843">
        <w:t xml:space="preserve"> (</w:t>
      </w:r>
      <w:r w:rsidR="002920A7">
        <w:t>aiming for above</w:t>
      </w:r>
      <w:r w:rsidR="00862843">
        <w:t xml:space="preserve"> 90%)</w:t>
      </w:r>
      <w:r w:rsidR="002920A7">
        <w:t>.</w:t>
      </w:r>
    </w:p>
    <w:p w14:paraId="601B6280" w14:textId="28294E31" w:rsidR="00BD0798" w:rsidRDefault="00933074" w:rsidP="003E01AD">
      <w:r>
        <w:t>A</w:t>
      </w:r>
      <w:r w:rsidR="0005481E">
        <w:t xml:space="preserve"> structured training report </w:t>
      </w:r>
      <w:r>
        <w:t>should be</w:t>
      </w:r>
      <w:r w:rsidR="00270C59">
        <w:t xml:space="preserve"> </w:t>
      </w:r>
      <w:r w:rsidR="0005481E">
        <w:t>completed by the educational supervisor for each of training</w:t>
      </w:r>
      <w:r w:rsidR="002920A7">
        <w:t xml:space="preserve"> phases 1(b) and 2</w:t>
      </w:r>
      <w:r w:rsidR="00BD0798">
        <w:t>.</w:t>
      </w:r>
    </w:p>
    <w:p w14:paraId="5C1EBBB0" w14:textId="22134840" w:rsidR="0095602D" w:rsidRDefault="0095602D" w:rsidP="003E01AD"/>
    <w:p w14:paraId="58C775A6" w14:textId="634CD93D" w:rsidR="0095602D" w:rsidRDefault="0095602D" w:rsidP="0095602D">
      <w:pPr>
        <w:pStyle w:val="ListParagraph"/>
        <w:numPr>
          <w:ilvl w:val="0"/>
          <w:numId w:val="1"/>
        </w:numPr>
      </w:pPr>
      <w:r>
        <w:t>For trainees that started on the 2015 curriculum</w:t>
      </w:r>
      <w:r w:rsidR="006E561E">
        <w:t xml:space="preserve">, </w:t>
      </w:r>
      <w:r>
        <w:t>have chosen to transition to the 2022 curriculum</w:t>
      </w:r>
      <w:r w:rsidR="004B0A66">
        <w:t xml:space="preserve">, and </w:t>
      </w:r>
      <w:r w:rsidR="004B0A66" w:rsidRPr="008808E5">
        <w:rPr>
          <w:b/>
          <w:bCs/>
        </w:rPr>
        <w:t>transitioned after the end of phase 1(b)</w:t>
      </w:r>
      <w:r w:rsidR="004B0A66">
        <w:t xml:space="preserve"> with a successful STR</w:t>
      </w:r>
      <w:r w:rsidR="00734590">
        <w:t>, their WPBA requirements are calculated pro rata for each phase against each curriculum</w:t>
      </w:r>
      <w:r w:rsidR="008841F1">
        <w:t>, such that phase 1(b) should evidence at least 50% of the requirements of the 2015 curriculum, and phase 2 should evidence at least 50% of the requirements of the 2022 curriculum:</w:t>
      </w:r>
    </w:p>
    <w:p w14:paraId="0D7DC979" w14:textId="62AB0F90" w:rsidR="0095602D" w:rsidRDefault="0095602D" w:rsidP="00956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73"/>
        <w:gridCol w:w="1002"/>
        <w:gridCol w:w="1002"/>
        <w:gridCol w:w="1002"/>
        <w:gridCol w:w="1002"/>
        <w:gridCol w:w="1002"/>
        <w:gridCol w:w="1002"/>
        <w:gridCol w:w="1002"/>
      </w:tblGrid>
      <w:tr w:rsidR="0095602D" w14:paraId="65E049BB" w14:textId="77777777" w:rsidTr="008808E5">
        <w:tc>
          <w:tcPr>
            <w:tcW w:w="1129" w:type="dxa"/>
            <w:shd w:val="clear" w:color="auto" w:fill="7030A0"/>
          </w:tcPr>
          <w:p w14:paraId="4220F769" w14:textId="77777777" w:rsidR="0095602D" w:rsidRDefault="0095602D" w:rsidP="0095602D"/>
        </w:tc>
        <w:tc>
          <w:tcPr>
            <w:tcW w:w="873" w:type="dxa"/>
            <w:shd w:val="clear" w:color="auto" w:fill="7030A0"/>
          </w:tcPr>
          <w:p w14:paraId="05C0496B" w14:textId="4F807D09" w:rsidR="0095602D" w:rsidRPr="003F0F58" w:rsidRDefault="0095602D" w:rsidP="00B120FB">
            <w:pPr>
              <w:jc w:val="center"/>
              <w:rPr>
                <w:color w:val="FFFFFF" w:themeColor="background1"/>
              </w:rPr>
            </w:pPr>
            <w:r w:rsidRPr="003F0F58">
              <w:rPr>
                <w:color w:val="FFFFFF" w:themeColor="background1"/>
              </w:rPr>
              <w:t>CEX</w:t>
            </w:r>
          </w:p>
        </w:tc>
        <w:tc>
          <w:tcPr>
            <w:tcW w:w="1002" w:type="dxa"/>
            <w:shd w:val="clear" w:color="auto" w:fill="7030A0"/>
          </w:tcPr>
          <w:p w14:paraId="3CCD5248" w14:textId="58455A58" w:rsidR="0095602D" w:rsidRPr="003F0F58" w:rsidRDefault="0095602D" w:rsidP="00B120FB">
            <w:pPr>
              <w:jc w:val="center"/>
              <w:rPr>
                <w:color w:val="FFFFFF" w:themeColor="background1"/>
              </w:rPr>
            </w:pPr>
            <w:proofErr w:type="spellStart"/>
            <w:r w:rsidRPr="003F0F58">
              <w:rPr>
                <w:color w:val="FFFFFF" w:themeColor="background1"/>
              </w:rPr>
              <w:t>C</w:t>
            </w:r>
            <w:r w:rsidR="004B0A66">
              <w:rPr>
                <w:color w:val="FFFFFF" w:themeColor="background1"/>
              </w:rPr>
              <w:t>b</w:t>
            </w:r>
            <w:r w:rsidRPr="003F0F58">
              <w:rPr>
                <w:color w:val="FFFFFF" w:themeColor="background1"/>
              </w:rPr>
              <w:t>D</w:t>
            </w:r>
            <w:proofErr w:type="spellEnd"/>
          </w:p>
        </w:tc>
        <w:tc>
          <w:tcPr>
            <w:tcW w:w="1002" w:type="dxa"/>
            <w:shd w:val="clear" w:color="auto" w:fill="7030A0"/>
          </w:tcPr>
          <w:p w14:paraId="2BDA67C7" w14:textId="25791705" w:rsidR="0095602D" w:rsidRPr="003F0F58" w:rsidRDefault="0095602D" w:rsidP="00B120FB">
            <w:pPr>
              <w:jc w:val="center"/>
              <w:rPr>
                <w:color w:val="FFFFFF" w:themeColor="background1"/>
              </w:rPr>
            </w:pPr>
            <w:r w:rsidRPr="003F0F58">
              <w:rPr>
                <w:color w:val="FFFFFF" w:themeColor="background1"/>
              </w:rPr>
              <w:t>SIM</w:t>
            </w:r>
          </w:p>
        </w:tc>
        <w:tc>
          <w:tcPr>
            <w:tcW w:w="1002" w:type="dxa"/>
            <w:shd w:val="clear" w:color="auto" w:fill="7030A0"/>
          </w:tcPr>
          <w:p w14:paraId="74CC0C0A" w14:textId="4EDF6D0F" w:rsidR="0095602D" w:rsidRPr="003F0F58" w:rsidRDefault="0095602D" w:rsidP="00B120FB">
            <w:pPr>
              <w:jc w:val="center"/>
              <w:rPr>
                <w:color w:val="FFFFFF" w:themeColor="background1"/>
              </w:rPr>
            </w:pPr>
            <w:r w:rsidRPr="003F0F58">
              <w:rPr>
                <w:color w:val="FFFFFF" w:themeColor="background1"/>
              </w:rPr>
              <w:t>DOPS</w:t>
            </w:r>
          </w:p>
        </w:tc>
        <w:tc>
          <w:tcPr>
            <w:tcW w:w="1002" w:type="dxa"/>
            <w:shd w:val="clear" w:color="auto" w:fill="7030A0"/>
          </w:tcPr>
          <w:p w14:paraId="52F6D82A" w14:textId="18DAAC40" w:rsidR="0095602D" w:rsidRPr="003F0F58" w:rsidRDefault="0095602D" w:rsidP="00B120FB">
            <w:pPr>
              <w:jc w:val="center"/>
              <w:rPr>
                <w:color w:val="FFFFFF" w:themeColor="background1"/>
              </w:rPr>
            </w:pPr>
            <w:r w:rsidRPr="003F0F58">
              <w:rPr>
                <w:color w:val="FFFFFF" w:themeColor="background1"/>
              </w:rPr>
              <w:t>MSF</w:t>
            </w:r>
          </w:p>
        </w:tc>
        <w:tc>
          <w:tcPr>
            <w:tcW w:w="1002" w:type="dxa"/>
            <w:shd w:val="clear" w:color="auto" w:fill="7030A0"/>
          </w:tcPr>
          <w:p w14:paraId="62CF98E6" w14:textId="651E79BB" w:rsidR="0095602D" w:rsidRPr="003F0F58" w:rsidRDefault="0095602D" w:rsidP="00B120FB">
            <w:pPr>
              <w:jc w:val="center"/>
              <w:rPr>
                <w:color w:val="FFFFFF" w:themeColor="background1"/>
              </w:rPr>
            </w:pPr>
            <w:r w:rsidRPr="003F0F58">
              <w:rPr>
                <w:color w:val="FFFFFF" w:themeColor="background1"/>
              </w:rPr>
              <w:t>OSAT</w:t>
            </w:r>
          </w:p>
        </w:tc>
        <w:tc>
          <w:tcPr>
            <w:tcW w:w="1002" w:type="dxa"/>
            <w:shd w:val="clear" w:color="auto" w:fill="7030A0"/>
          </w:tcPr>
          <w:p w14:paraId="5129A0FF" w14:textId="206E261B" w:rsidR="0095602D" w:rsidRPr="003F0F58" w:rsidRDefault="0095602D" w:rsidP="00B120FB">
            <w:pPr>
              <w:jc w:val="center"/>
              <w:rPr>
                <w:color w:val="FFFFFF" w:themeColor="background1"/>
              </w:rPr>
            </w:pPr>
            <w:r w:rsidRPr="003F0F58">
              <w:rPr>
                <w:color w:val="FFFFFF" w:themeColor="background1"/>
              </w:rPr>
              <w:t>TO</w:t>
            </w:r>
          </w:p>
        </w:tc>
        <w:tc>
          <w:tcPr>
            <w:tcW w:w="1002" w:type="dxa"/>
            <w:shd w:val="clear" w:color="auto" w:fill="7030A0"/>
          </w:tcPr>
          <w:p w14:paraId="451230A0" w14:textId="5C2E6C04" w:rsidR="0095602D" w:rsidRPr="003F0F58" w:rsidRDefault="00656CD4" w:rsidP="00B120FB">
            <w:pPr>
              <w:jc w:val="center"/>
              <w:rPr>
                <w:color w:val="FFFFFF" w:themeColor="background1"/>
              </w:rPr>
            </w:pPr>
            <w:r w:rsidRPr="003F0F58">
              <w:rPr>
                <w:color w:val="FFFFFF" w:themeColor="background1"/>
              </w:rPr>
              <w:t>FEG</w:t>
            </w:r>
            <w:r w:rsidR="002920A7">
              <w:rPr>
                <w:color w:val="FFFFFF" w:themeColor="background1"/>
              </w:rPr>
              <w:t>S</w:t>
            </w:r>
            <w:r w:rsidR="00FF3DE7">
              <w:rPr>
                <w:color w:val="FFFFFF" w:themeColor="background1"/>
              </w:rPr>
              <w:t>*</w:t>
            </w:r>
          </w:p>
        </w:tc>
      </w:tr>
      <w:tr w:rsidR="0095602D" w14:paraId="2A82CF83" w14:textId="77777777" w:rsidTr="008808E5">
        <w:tc>
          <w:tcPr>
            <w:tcW w:w="1129" w:type="dxa"/>
          </w:tcPr>
          <w:p w14:paraId="68798271" w14:textId="77A7BF54" w:rsidR="0095602D" w:rsidRDefault="0095602D" w:rsidP="0095602D">
            <w:r>
              <w:t>Phase1</w:t>
            </w:r>
            <w:r w:rsidR="004B0A66">
              <w:t>(b)</w:t>
            </w:r>
          </w:p>
        </w:tc>
        <w:tc>
          <w:tcPr>
            <w:tcW w:w="873" w:type="dxa"/>
          </w:tcPr>
          <w:p w14:paraId="188E1E64" w14:textId="3297472E" w:rsidR="0095602D" w:rsidRDefault="0095602D" w:rsidP="00B120FB">
            <w:pPr>
              <w:jc w:val="center"/>
            </w:pPr>
            <w:r>
              <w:t>7</w:t>
            </w:r>
          </w:p>
        </w:tc>
        <w:tc>
          <w:tcPr>
            <w:tcW w:w="1002" w:type="dxa"/>
          </w:tcPr>
          <w:p w14:paraId="1F30A70A" w14:textId="4012BF23" w:rsidR="0095602D" w:rsidRDefault="0095602D" w:rsidP="00B120FB">
            <w:pPr>
              <w:jc w:val="center"/>
            </w:pPr>
            <w:r>
              <w:t>15</w:t>
            </w:r>
          </w:p>
        </w:tc>
        <w:tc>
          <w:tcPr>
            <w:tcW w:w="1002" w:type="dxa"/>
          </w:tcPr>
          <w:p w14:paraId="2884F3C4" w14:textId="2A3B7BDB" w:rsidR="0095602D" w:rsidRDefault="0095602D" w:rsidP="00B120FB">
            <w:pPr>
              <w:jc w:val="center"/>
            </w:pPr>
            <w:r>
              <w:t>5</w:t>
            </w:r>
          </w:p>
        </w:tc>
        <w:tc>
          <w:tcPr>
            <w:tcW w:w="1002" w:type="dxa"/>
          </w:tcPr>
          <w:p w14:paraId="0F886479" w14:textId="16CC0CEE" w:rsidR="0095602D" w:rsidRDefault="0095602D" w:rsidP="00B120FB">
            <w:pPr>
              <w:jc w:val="center"/>
            </w:pPr>
            <w:r>
              <w:t>15</w:t>
            </w:r>
          </w:p>
        </w:tc>
        <w:tc>
          <w:tcPr>
            <w:tcW w:w="1002" w:type="dxa"/>
          </w:tcPr>
          <w:p w14:paraId="7E832742" w14:textId="180EDABC" w:rsidR="0095602D" w:rsidRDefault="0095602D" w:rsidP="00B120FB">
            <w:pPr>
              <w:jc w:val="center"/>
            </w:pPr>
            <w:r>
              <w:t>1</w:t>
            </w:r>
          </w:p>
        </w:tc>
        <w:tc>
          <w:tcPr>
            <w:tcW w:w="1002" w:type="dxa"/>
          </w:tcPr>
          <w:p w14:paraId="0885FCC0" w14:textId="4E772B89" w:rsidR="0095602D" w:rsidRDefault="00656CD4" w:rsidP="00B120FB">
            <w:pPr>
              <w:jc w:val="center"/>
            </w:pPr>
            <w:r>
              <w:t>6</w:t>
            </w:r>
          </w:p>
        </w:tc>
        <w:tc>
          <w:tcPr>
            <w:tcW w:w="1002" w:type="dxa"/>
          </w:tcPr>
          <w:p w14:paraId="173E0946" w14:textId="3CB89E25" w:rsidR="0095602D" w:rsidRDefault="0095602D" w:rsidP="00B120FB">
            <w:pPr>
              <w:jc w:val="center"/>
            </w:pPr>
            <w:r>
              <w:t>2</w:t>
            </w:r>
          </w:p>
        </w:tc>
        <w:tc>
          <w:tcPr>
            <w:tcW w:w="1002" w:type="dxa"/>
          </w:tcPr>
          <w:p w14:paraId="41F68CC2" w14:textId="0907B280" w:rsidR="0095602D" w:rsidRDefault="0055507D" w:rsidP="00B120FB">
            <w:pPr>
              <w:jc w:val="center"/>
            </w:pPr>
            <w:r>
              <w:t>-</w:t>
            </w:r>
          </w:p>
        </w:tc>
      </w:tr>
      <w:tr w:rsidR="0095602D" w14:paraId="45D57009" w14:textId="77777777" w:rsidTr="008808E5">
        <w:tc>
          <w:tcPr>
            <w:tcW w:w="1129" w:type="dxa"/>
          </w:tcPr>
          <w:p w14:paraId="775F90AE" w14:textId="42EAA3F1" w:rsidR="00FD1C16" w:rsidRDefault="0095602D" w:rsidP="0095602D">
            <w:r>
              <w:t>Phase 2</w:t>
            </w:r>
          </w:p>
        </w:tc>
        <w:tc>
          <w:tcPr>
            <w:tcW w:w="873" w:type="dxa"/>
          </w:tcPr>
          <w:p w14:paraId="283E56FA" w14:textId="075793B2" w:rsidR="0095602D" w:rsidRDefault="0055507D" w:rsidP="00B120FB">
            <w:pPr>
              <w:jc w:val="center"/>
            </w:pPr>
            <w:r>
              <w:t>-</w:t>
            </w:r>
          </w:p>
        </w:tc>
        <w:tc>
          <w:tcPr>
            <w:tcW w:w="1002" w:type="dxa"/>
          </w:tcPr>
          <w:p w14:paraId="7A9B80B8" w14:textId="45C9DA2C" w:rsidR="0095602D" w:rsidRDefault="0055507D" w:rsidP="00B120FB">
            <w:pPr>
              <w:jc w:val="center"/>
            </w:pPr>
            <w:r>
              <w:t>-</w:t>
            </w:r>
          </w:p>
        </w:tc>
        <w:tc>
          <w:tcPr>
            <w:tcW w:w="1002" w:type="dxa"/>
          </w:tcPr>
          <w:p w14:paraId="3AA6131F" w14:textId="6BC3A0E6" w:rsidR="0095602D" w:rsidRDefault="0055507D" w:rsidP="00B120FB">
            <w:pPr>
              <w:jc w:val="center"/>
            </w:pPr>
            <w:r>
              <w:t>-</w:t>
            </w:r>
          </w:p>
        </w:tc>
        <w:tc>
          <w:tcPr>
            <w:tcW w:w="1002" w:type="dxa"/>
          </w:tcPr>
          <w:p w14:paraId="103864E8" w14:textId="4B008C5E" w:rsidR="0095602D" w:rsidRDefault="0055507D" w:rsidP="00B120FB">
            <w:pPr>
              <w:jc w:val="center"/>
            </w:pPr>
            <w:r>
              <w:t>-</w:t>
            </w:r>
          </w:p>
        </w:tc>
        <w:tc>
          <w:tcPr>
            <w:tcW w:w="1002" w:type="dxa"/>
          </w:tcPr>
          <w:p w14:paraId="5E83C72F" w14:textId="229E99BD" w:rsidR="0095602D" w:rsidRDefault="00656CD4" w:rsidP="00B120FB">
            <w:pPr>
              <w:jc w:val="center"/>
            </w:pPr>
            <w:r>
              <w:t>1</w:t>
            </w:r>
          </w:p>
        </w:tc>
        <w:tc>
          <w:tcPr>
            <w:tcW w:w="1002" w:type="dxa"/>
          </w:tcPr>
          <w:p w14:paraId="007D4B0B" w14:textId="16F726F7" w:rsidR="0095602D" w:rsidRDefault="00656CD4" w:rsidP="00B120FB">
            <w:pPr>
              <w:jc w:val="center"/>
            </w:pPr>
            <w:r>
              <w:t>10</w:t>
            </w:r>
          </w:p>
        </w:tc>
        <w:tc>
          <w:tcPr>
            <w:tcW w:w="1002" w:type="dxa"/>
          </w:tcPr>
          <w:p w14:paraId="61B486DD" w14:textId="6F15D2E1" w:rsidR="0095602D" w:rsidRDefault="0055507D" w:rsidP="00B120FB">
            <w:pPr>
              <w:jc w:val="center"/>
            </w:pPr>
            <w:r>
              <w:t>-</w:t>
            </w:r>
          </w:p>
        </w:tc>
        <w:tc>
          <w:tcPr>
            <w:tcW w:w="1002" w:type="dxa"/>
          </w:tcPr>
          <w:p w14:paraId="65A6AA05" w14:textId="7C9DE538" w:rsidR="0095602D" w:rsidRDefault="00656CD4" w:rsidP="00B120FB">
            <w:pPr>
              <w:jc w:val="center"/>
            </w:pPr>
            <w:r>
              <w:t>1</w:t>
            </w:r>
          </w:p>
        </w:tc>
      </w:tr>
    </w:tbl>
    <w:p w14:paraId="5780F7DB" w14:textId="20D554DB" w:rsidR="0095602D" w:rsidRDefault="0095602D" w:rsidP="0095602D"/>
    <w:p w14:paraId="711C7B7D" w14:textId="48B2D59B" w:rsidR="005B1E07" w:rsidRDefault="005B1E07" w:rsidP="005B1E07">
      <w:pPr>
        <w:tabs>
          <w:tab w:val="left" w:pos="2798"/>
        </w:tabs>
      </w:pPr>
      <w:r>
        <w:t>*The FEGS is compiled by the LEP training faculty. The final FEGS during each of phase 1(b) and 2 must support progression.</w:t>
      </w:r>
    </w:p>
    <w:p w14:paraId="2541BA93" w14:textId="344511AB" w:rsidR="0031727A" w:rsidRDefault="005B1E07" w:rsidP="0095602D">
      <w:r>
        <w:lastRenderedPageBreak/>
        <w:t xml:space="preserve">Syllabus </w:t>
      </w:r>
      <w:r w:rsidR="0031727A">
        <w:t xml:space="preserve">coverage will be </w:t>
      </w:r>
      <w:r>
        <w:t>assessed during phase 2 only</w:t>
      </w:r>
      <w:r w:rsidR="00757C47">
        <w:t xml:space="preserve">. Each capability in practice should have </w:t>
      </w:r>
      <w:r>
        <w:t xml:space="preserve">mapped against it, </w:t>
      </w:r>
      <w:r w:rsidR="00D805C7">
        <w:t>a</w:t>
      </w:r>
      <w:r>
        <w:t>t least one</w:t>
      </w:r>
      <w:r w:rsidR="00D805C7">
        <w:t xml:space="preserve"> piece of evidence </w:t>
      </w:r>
      <w:r>
        <w:t>demonstrating the level of performance</w:t>
      </w:r>
      <w:r w:rsidR="005837A3">
        <w:t xml:space="preserve"> </w:t>
      </w:r>
      <w:r w:rsidR="00414E08">
        <w:t xml:space="preserve">expected at the end of phase of </w:t>
      </w:r>
      <w:r>
        <w:t xml:space="preserve">2, </w:t>
      </w:r>
      <w:proofErr w:type="gramStart"/>
      <w:r>
        <w:t>e.g.</w:t>
      </w:r>
      <w:proofErr w:type="gramEnd"/>
      <w:r>
        <w:t xml:space="preserve"> an OSAT with an overall performance rating of 3-4.</w:t>
      </w:r>
    </w:p>
    <w:p w14:paraId="70C90AE5" w14:textId="77777777" w:rsidR="00830D61" w:rsidRDefault="00830D61" w:rsidP="003E01AD">
      <w:pPr>
        <w:tabs>
          <w:tab w:val="left" w:pos="2798"/>
        </w:tabs>
      </w:pPr>
    </w:p>
    <w:p w14:paraId="0B4E05C0" w14:textId="293E3A29" w:rsidR="005B1E07" w:rsidRDefault="005B1E07" w:rsidP="005B1E07">
      <w:pPr>
        <w:pStyle w:val="ListParagraph"/>
        <w:numPr>
          <w:ilvl w:val="0"/>
          <w:numId w:val="1"/>
        </w:numPr>
      </w:pPr>
      <w:r>
        <w:t xml:space="preserve">Trainees that started on the 2015 curriculum, chose to transition to the 2022 curriculum, and </w:t>
      </w:r>
      <w:r w:rsidRPr="00850F51">
        <w:rPr>
          <w:b/>
          <w:bCs/>
        </w:rPr>
        <w:t xml:space="preserve">transitioned </w:t>
      </w:r>
      <w:r>
        <w:rPr>
          <w:b/>
          <w:bCs/>
        </w:rPr>
        <w:t>before</w:t>
      </w:r>
      <w:r w:rsidRPr="00850F51">
        <w:rPr>
          <w:b/>
          <w:bCs/>
        </w:rPr>
        <w:t xml:space="preserve"> the end of phase 1(b)</w:t>
      </w:r>
      <w:r>
        <w:t xml:space="preserve"> will follow the 2022 curriculum for both phase 1(b) and 2 (see below).</w:t>
      </w:r>
    </w:p>
    <w:p w14:paraId="2785B09A" w14:textId="77777777" w:rsidR="005B1E07" w:rsidRDefault="005B1E07" w:rsidP="008808E5"/>
    <w:p w14:paraId="7122E634" w14:textId="3547CF23" w:rsidR="003E01AD" w:rsidRDefault="005B1E07" w:rsidP="008808E5">
      <w:pPr>
        <w:pStyle w:val="ListParagraph"/>
        <w:numPr>
          <w:ilvl w:val="0"/>
          <w:numId w:val="1"/>
        </w:numPr>
        <w:tabs>
          <w:tab w:val="left" w:pos="2798"/>
        </w:tabs>
      </w:pPr>
      <w:r>
        <w:t>For t</w:t>
      </w:r>
      <w:r w:rsidR="00766E82">
        <w:t xml:space="preserve">rainees </w:t>
      </w:r>
      <w:r>
        <w:t xml:space="preserve">starting </w:t>
      </w:r>
      <w:r w:rsidR="00766E82">
        <w:t xml:space="preserve">on </w:t>
      </w:r>
      <w:r>
        <w:t xml:space="preserve">or after August </w:t>
      </w:r>
      <w:r w:rsidR="000E1416">
        <w:t>2022</w:t>
      </w:r>
      <w:r>
        <w:t>,</w:t>
      </w:r>
      <w:r w:rsidR="000E1416">
        <w:t xml:space="preserve"> </w:t>
      </w:r>
      <w:r>
        <w:t>the minimum WPBA requirements are:</w:t>
      </w:r>
    </w:p>
    <w:p w14:paraId="6E402175" w14:textId="77777777" w:rsidR="00830D61" w:rsidRDefault="00830D61" w:rsidP="00830D61">
      <w:pPr>
        <w:pStyle w:val="ListParagraph"/>
        <w:tabs>
          <w:tab w:val="left" w:pos="2798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</w:tblGrid>
      <w:tr w:rsidR="002B127D" w14:paraId="2B26B50C" w14:textId="77777777" w:rsidTr="003D58A1">
        <w:trPr>
          <w:jc w:val="center"/>
        </w:trPr>
        <w:tc>
          <w:tcPr>
            <w:tcW w:w="1001" w:type="dxa"/>
            <w:shd w:val="clear" w:color="auto" w:fill="7030A0"/>
          </w:tcPr>
          <w:p w14:paraId="50085CED" w14:textId="77777777" w:rsidR="002B127D" w:rsidRPr="003F0F58" w:rsidRDefault="002B127D" w:rsidP="00830D61">
            <w:pPr>
              <w:tabs>
                <w:tab w:val="left" w:pos="2798"/>
              </w:tabs>
              <w:rPr>
                <w:color w:val="FFFFFF" w:themeColor="background1"/>
              </w:rPr>
            </w:pPr>
          </w:p>
        </w:tc>
        <w:tc>
          <w:tcPr>
            <w:tcW w:w="1001" w:type="dxa"/>
            <w:shd w:val="clear" w:color="auto" w:fill="7030A0"/>
          </w:tcPr>
          <w:p w14:paraId="6BE1D89F" w14:textId="524DECCD" w:rsidR="002B127D" w:rsidRPr="003F0F58" w:rsidRDefault="002B127D" w:rsidP="000F5A28">
            <w:pPr>
              <w:tabs>
                <w:tab w:val="left" w:pos="2798"/>
              </w:tabs>
              <w:jc w:val="center"/>
              <w:rPr>
                <w:color w:val="FFFFFF" w:themeColor="background1"/>
              </w:rPr>
            </w:pPr>
            <w:r w:rsidRPr="003F0F58">
              <w:rPr>
                <w:color w:val="FFFFFF" w:themeColor="background1"/>
              </w:rPr>
              <w:t>OSAT</w:t>
            </w:r>
          </w:p>
        </w:tc>
        <w:tc>
          <w:tcPr>
            <w:tcW w:w="1002" w:type="dxa"/>
            <w:shd w:val="clear" w:color="auto" w:fill="7030A0"/>
          </w:tcPr>
          <w:p w14:paraId="52403483" w14:textId="68834272" w:rsidR="002B127D" w:rsidRPr="003F0F58" w:rsidRDefault="002B127D" w:rsidP="000F5A28">
            <w:pPr>
              <w:tabs>
                <w:tab w:val="left" w:pos="2798"/>
              </w:tabs>
              <w:jc w:val="center"/>
              <w:rPr>
                <w:color w:val="FFFFFF" w:themeColor="background1"/>
              </w:rPr>
            </w:pPr>
            <w:r w:rsidRPr="003F0F58">
              <w:rPr>
                <w:color w:val="FFFFFF" w:themeColor="background1"/>
              </w:rPr>
              <w:t>MSF</w:t>
            </w:r>
          </w:p>
        </w:tc>
        <w:tc>
          <w:tcPr>
            <w:tcW w:w="1002" w:type="dxa"/>
            <w:shd w:val="clear" w:color="auto" w:fill="7030A0"/>
          </w:tcPr>
          <w:p w14:paraId="042B5D09" w14:textId="63B52406" w:rsidR="002B127D" w:rsidRPr="003F0F58" w:rsidRDefault="002B127D" w:rsidP="000F5A28">
            <w:pPr>
              <w:tabs>
                <w:tab w:val="left" w:pos="2798"/>
              </w:tabs>
              <w:jc w:val="center"/>
              <w:rPr>
                <w:color w:val="FFFFFF" w:themeColor="background1"/>
              </w:rPr>
            </w:pPr>
            <w:r w:rsidRPr="003F0F58">
              <w:rPr>
                <w:color w:val="FFFFFF" w:themeColor="background1"/>
              </w:rPr>
              <w:t>FEG</w:t>
            </w:r>
            <w:r w:rsidR="00FF3DE7">
              <w:rPr>
                <w:color w:val="FFFFFF" w:themeColor="background1"/>
              </w:rPr>
              <w:t>*</w:t>
            </w:r>
          </w:p>
        </w:tc>
      </w:tr>
      <w:tr w:rsidR="002B127D" w14:paraId="264B528B" w14:textId="77777777" w:rsidTr="003D58A1">
        <w:trPr>
          <w:jc w:val="center"/>
        </w:trPr>
        <w:tc>
          <w:tcPr>
            <w:tcW w:w="1001" w:type="dxa"/>
          </w:tcPr>
          <w:p w14:paraId="06FC55E5" w14:textId="2FEE2BF3" w:rsidR="002B127D" w:rsidRDefault="002B127D" w:rsidP="00830D61">
            <w:pPr>
              <w:tabs>
                <w:tab w:val="left" w:pos="2798"/>
              </w:tabs>
            </w:pPr>
            <w:r>
              <w:t>Phase 1</w:t>
            </w:r>
          </w:p>
        </w:tc>
        <w:tc>
          <w:tcPr>
            <w:tcW w:w="1001" w:type="dxa"/>
          </w:tcPr>
          <w:p w14:paraId="1977DF13" w14:textId="16C53D90" w:rsidR="002B127D" w:rsidRDefault="002B127D" w:rsidP="000F5A28">
            <w:pPr>
              <w:tabs>
                <w:tab w:val="left" w:pos="2798"/>
              </w:tabs>
              <w:jc w:val="center"/>
            </w:pPr>
            <w:r>
              <w:t>10</w:t>
            </w:r>
          </w:p>
        </w:tc>
        <w:tc>
          <w:tcPr>
            <w:tcW w:w="1002" w:type="dxa"/>
          </w:tcPr>
          <w:p w14:paraId="26B5AE2D" w14:textId="14B8F221" w:rsidR="002B127D" w:rsidRDefault="002B127D" w:rsidP="000F5A28">
            <w:pPr>
              <w:tabs>
                <w:tab w:val="left" w:pos="2798"/>
              </w:tabs>
              <w:jc w:val="center"/>
            </w:pPr>
            <w:r>
              <w:t>1</w:t>
            </w:r>
          </w:p>
        </w:tc>
        <w:tc>
          <w:tcPr>
            <w:tcW w:w="1002" w:type="dxa"/>
          </w:tcPr>
          <w:p w14:paraId="22E7B8C2" w14:textId="162DA858" w:rsidR="002B127D" w:rsidRDefault="002B127D" w:rsidP="000F5A28">
            <w:pPr>
              <w:tabs>
                <w:tab w:val="left" w:pos="2798"/>
              </w:tabs>
              <w:jc w:val="center"/>
            </w:pPr>
            <w:r>
              <w:t>1</w:t>
            </w:r>
          </w:p>
        </w:tc>
      </w:tr>
      <w:tr w:rsidR="002B127D" w14:paraId="4683B3DE" w14:textId="77777777" w:rsidTr="003D58A1">
        <w:trPr>
          <w:jc w:val="center"/>
        </w:trPr>
        <w:tc>
          <w:tcPr>
            <w:tcW w:w="1001" w:type="dxa"/>
          </w:tcPr>
          <w:p w14:paraId="32AA57BE" w14:textId="3134CFE8" w:rsidR="002B127D" w:rsidRDefault="002B127D" w:rsidP="003D58A1">
            <w:pPr>
              <w:tabs>
                <w:tab w:val="left" w:pos="2798"/>
              </w:tabs>
            </w:pPr>
            <w:r>
              <w:t>Phase 2</w:t>
            </w:r>
          </w:p>
        </w:tc>
        <w:tc>
          <w:tcPr>
            <w:tcW w:w="1001" w:type="dxa"/>
          </w:tcPr>
          <w:p w14:paraId="4BF4E52C" w14:textId="0E037316" w:rsidR="002B127D" w:rsidRDefault="002B127D" w:rsidP="000F5A28">
            <w:pPr>
              <w:tabs>
                <w:tab w:val="left" w:pos="2798"/>
              </w:tabs>
              <w:jc w:val="center"/>
            </w:pPr>
            <w:r>
              <w:t>10</w:t>
            </w:r>
          </w:p>
        </w:tc>
        <w:tc>
          <w:tcPr>
            <w:tcW w:w="1002" w:type="dxa"/>
          </w:tcPr>
          <w:p w14:paraId="0D0897F6" w14:textId="75E95D9B" w:rsidR="002B127D" w:rsidRDefault="002B127D" w:rsidP="000F5A28">
            <w:pPr>
              <w:tabs>
                <w:tab w:val="left" w:pos="2798"/>
              </w:tabs>
              <w:jc w:val="center"/>
            </w:pPr>
            <w:r>
              <w:t>1</w:t>
            </w:r>
          </w:p>
        </w:tc>
        <w:tc>
          <w:tcPr>
            <w:tcW w:w="1002" w:type="dxa"/>
          </w:tcPr>
          <w:p w14:paraId="1DBA7D14" w14:textId="709FEEF7" w:rsidR="002B127D" w:rsidRDefault="002B127D" w:rsidP="000F5A28">
            <w:pPr>
              <w:tabs>
                <w:tab w:val="left" w:pos="2798"/>
              </w:tabs>
              <w:jc w:val="center"/>
            </w:pPr>
            <w:r>
              <w:t>1</w:t>
            </w:r>
          </w:p>
        </w:tc>
      </w:tr>
    </w:tbl>
    <w:p w14:paraId="77330451" w14:textId="7B397E39" w:rsidR="00691CC9" w:rsidRDefault="00691CC9" w:rsidP="00830D61">
      <w:pPr>
        <w:tabs>
          <w:tab w:val="left" w:pos="2798"/>
        </w:tabs>
      </w:pPr>
    </w:p>
    <w:p w14:paraId="3175B47E" w14:textId="46612288" w:rsidR="005B1E07" w:rsidRDefault="002E4F4A" w:rsidP="00830D61">
      <w:pPr>
        <w:tabs>
          <w:tab w:val="left" w:pos="2798"/>
        </w:tabs>
      </w:pPr>
      <w:r>
        <w:t>The</w:t>
      </w:r>
      <w:r w:rsidR="00FE65DC">
        <w:t xml:space="preserve"> portfolio </w:t>
      </w:r>
      <w:r w:rsidR="00B95141">
        <w:t xml:space="preserve">can </w:t>
      </w:r>
      <w:r w:rsidR="005B1E07">
        <w:t>include</w:t>
      </w:r>
      <w:r w:rsidR="00B95141">
        <w:t xml:space="preserve"> any combination </w:t>
      </w:r>
      <w:r w:rsidR="005B1E07">
        <w:t xml:space="preserve">of </w:t>
      </w:r>
      <w:r w:rsidR="00AB2B1A">
        <w:t>evidence (WPBAs, reflections, courses)</w:t>
      </w:r>
      <w:r w:rsidR="00F26DCF">
        <w:t xml:space="preserve"> to demonstrate </w:t>
      </w:r>
      <w:r w:rsidR="005B1E07">
        <w:t xml:space="preserve">syllabus </w:t>
      </w:r>
      <w:r w:rsidR="00F26DCF">
        <w:t>coverage.</w:t>
      </w:r>
      <w:r w:rsidR="00B45151">
        <w:t xml:space="preserve"> A</w:t>
      </w:r>
      <w:r w:rsidR="005B1E07">
        <w:t>t least</w:t>
      </w:r>
      <w:r w:rsidR="00B45151">
        <w:t xml:space="preserve"> </w:t>
      </w:r>
      <w:r w:rsidR="005B1E07">
        <w:t xml:space="preserve">one </w:t>
      </w:r>
      <w:r w:rsidR="00B45151">
        <w:t xml:space="preserve">piece of evidence should be </w:t>
      </w:r>
      <w:r w:rsidR="00064F97">
        <w:t>mapped</w:t>
      </w:r>
      <w:r w:rsidR="00B45151">
        <w:t xml:space="preserve"> </w:t>
      </w:r>
      <w:r w:rsidR="00064F97">
        <w:t>to</w:t>
      </w:r>
      <w:r w:rsidR="00B45151">
        <w:t xml:space="preserve"> each</w:t>
      </w:r>
      <w:r w:rsidR="00DE6C26">
        <w:t xml:space="preserve"> capabilit</w:t>
      </w:r>
      <w:r w:rsidR="00B45151">
        <w:t>y</w:t>
      </w:r>
      <w:r w:rsidR="00DE6C26">
        <w:t xml:space="preserve"> in practice</w:t>
      </w:r>
      <w:r w:rsidR="005B1E07">
        <w:t>:</w:t>
      </w:r>
    </w:p>
    <w:p w14:paraId="68D6C963" w14:textId="7CC17AA6" w:rsidR="005B1E07" w:rsidRDefault="00A05D14" w:rsidP="005B1E07">
      <w:pPr>
        <w:pStyle w:val="ListParagraph"/>
        <w:numPr>
          <w:ilvl w:val="0"/>
          <w:numId w:val="4"/>
        </w:numPr>
        <w:tabs>
          <w:tab w:val="left" w:pos="2798"/>
        </w:tabs>
      </w:pPr>
      <w:r>
        <w:t>d</w:t>
      </w:r>
      <w:r w:rsidR="005B1E07">
        <w:t>uring phase 1(b) and demonstrate the level of performance expected</w:t>
      </w:r>
      <w:r>
        <w:t xml:space="preserve"> by the end of phase 1(b) developmental training, e.g. an OSAT with an overall performance rating of 2-3</w:t>
      </w:r>
    </w:p>
    <w:p w14:paraId="3CC6CD21" w14:textId="0487F6FF" w:rsidR="004D2438" w:rsidRDefault="00A05D14" w:rsidP="008808E5">
      <w:pPr>
        <w:pStyle w:val="ListParagraph"/>
        <w:numPr>
          <w:ilvl w:val="0"/>
          <w:numId w:val="4"/>
        </w:numPr>
        <w:tabs>
          <w:tab w:val="left" w:pos="2798"/>
        </w:tabs>
      </w:pPr>
      <w:r>
        <w:t xml:space="preserve">during phase 2 and demonstrate the level of performance expected by the end of phase 2 consolidation training, </w:t>
      </w:r>
      <w:proofErr w:type="gramStart"/>
      <w:r>
        <w:t>e.g.</w:t>
      </w:r>
      <w:proofErr w:type="gramEnd"/>
      <w:r>
        <w:t xml:space="preserve"> an OSAT with an overall performance rating of 3-4</w:t>
      </w:r>
    </w:p>
    <w:p w14:paraId="070415DF" w14:textId="77777777" w:rsidR="004D2438" w:rsidRDefault="004D2438" w:rsidP="00830D61">
      <w:pPr>
        <w:tabs>
          <w:tab w:val="left" w:pos="2798"/>
        </w:tabs>
      </w:pPr>
    </w:p>
    <w:p w14:paraId="69216297" w14:textId="40D0287A" w:rsidR="00FE6E28" w:rsidRDefault="00FE6E28" w:rsidP="00830D61">
      <w:pPr>
        <w:tabs>
          <w:tab w:val="left" w:pos="2798"/>
        </w:tabs>
      </w:pPr>
    </w:p>
    <w:p w14:paraId="0CADA033" w14:textId="005234FC" w:rsidR="00FE6E28" w:rsidRPr="003E01AD" w:rsidRDefault="00FE6E28" w:rsidP="00830D61">
      <w:pPr>
        <w:tabs>
          <w:tab w:val="left" w:pos="2798"/>
        </w:tabs>
      </w:pPr>
      <w:r>
        <w:t xml:space="preserve">Note: </w:t>
      </w:r>
      <w:r w:rsidR="00A05D14">
        <w:t>T</w:t>
      </w:r>
      <w:r w:rsidRPr="00FE6E28">
        <w:t xml:space="preserve">he numbers in this document represent the </w:t>
      </w:r>
      <w:r w:rsidR="00A05D14">
        <w:t xml:space="preserve">recommended </w:t>
      </w:r>
      <w:r w:rsidRPr="00FE6E28">
        <w:t>minimum number of assessments required to be submitted</w:t>
      </w:r>
      <w:r w:rsidR="00A05D14">
        <w:t xml:space="preserve"> to the TAP.</w:t>
      </w:r>
    </w:p>
    <w:sectPr w:rsidR="00FE6E28" w:rsidRPr="003E01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802F" w14:textId="77777777" w:rsidR="00B762CE" w:rsidRDefault="00B762CE" w:rsidP="00280135">
      <w:pPr>
        <w:spacing w:after="0" w:line="240" w:lineRule="auto"/>
      </w:pPr>
      <w:r>
        <w:separator/>
      </w:r>
    </w:p>
  </w:endnote>
  <w:endnote w:type="continuationSeparator" w:id="0">
    <w:p w14:paraId="79FB2E9B" w14:textId="77777777" w:rsidR="00B762CE" w:rsidRDefault="00B762CE" w:rsidP="0028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CA81" w14:textId="77777777" w:rsidR="00B762CE" w:rsidRDefault="00B762CE" w:rsidP="00280135">
      <w:pPr>
        <w:spacing w:after="0" w:line="240" w:lineRule="auto"/>
      </w:pPr>
      <w:r>
        <w:separator/>
      </w:r>
    </w:p>
  </w:footnote>
  <w:footnote w:type="continuationSeparator" w:id="0">
    <w:p w14:paraId="7DCD64A1" w14:textId="77777777" w:rsidR="00B762CE" w:rsidRDefault="00B762CE" w:rsidP="0028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8A82" w14:textId="5FDE2DFA" w:rsidR="005837C8" w:rsidRDefault="00232E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6BB91" wp14:editId="764A7BF0">
              <wp:simplePos x="0" y="0"/>
              <wp:positionH relativeFrom="column">
                <wp:posOffset>3260725</wp:posOffset>
              </wp:positionH>
              <wp:positionV relativeFrom="paragraph">
                <wp:posOffset>292207</wp:posOffset>
              </wp:positionV>
              <wp:extent cx="2906551" cy="362166"/>
              <wp:effectExtent l="0" t="0" r="27305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6551" cy="362166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460E1DD" w14:textId="40AEDA77" w:rsidR="00232E0F" w:rsidRPr="008808E5" w:rsidRDefault="00415C74" w:rsidP="008808E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08E5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TAP Guidance note</w:t>
                          </w:r>
                          <w:r w:rsidR="00EA5A6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2D5385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6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6BB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6.75pt;margin-top:23pt;width:228.8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" fillcolor="#7030a0" strokeweight=".5pt">
              <v:textbox>
                <w:txbxContent>
                  <w:p w14:paraId="0460E1DD" w14:textId="40AEDA77" w:rsidR="00232E0F" w:rsidRPr="008808E5" w:rsidRDefault="00415C74" w:rsidP="008808E5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808E5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TAP Guidance note</w:t>
                    </w:r>
                    <w:r w:rsidR="00EA5A63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2D5385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6 </w:t>
                    </w:r>
                  </w:p>
                </w:txbxContent>
              </v:textbox>
            </v:shape>
          </w:pict>
        </mc:Fallback>
      </mc:AlternateContent>
    </w:r>
    <w:r w:rsidR="00280135">
      <w:rPr>
        <w:noProof/>
      </w:rPr>
      <w:drawing>
        <wp:inline distT="0" distB="0" distL="0" distR="0" wp14:anchorId="7DC82055" wp14:editId="37A7248F">
          <wp:extent cx="3084830" cy="93916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307D">
      <w:t xml:space="preserve">      </w:t>
    </w:r>
  </w:p>
  <w:p w14:paraId="5E768261" w14:textId="77777777" w:rsidR="00280135" w:rsidRDefault="00280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54E"/>
    <w:multiLevelType w:val="hybridMultilevel"/>
    <w:tmpl w:val="935CC41E"/>
    <w:lvl w:ilvl="0" w:tplc="A09E7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1C5"/>
    <w:multiLevelType w:val="hybridMultilevel"/>
    <w:tmpl w:val="4042917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5642CA6"/>
    <w:multiLevelType w:val="hybridMultilevel"/>
    <w:tmpl w:val="A9E8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76F65"/>
    <w:multiLevelType w:val="hybridMultilevel"/>
    <w:tmpl w:val="EFB82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095902">
    <w:abstractNumId w:val="2"/>
  </w:num>
  <w:num w:numId="2" w16cid:durableId="1112825037">
    <w:abstractNumId w:val="0"/>
  </w:num>
  <w:num w:numId="3" w16cid:durableId="161168880">
    <w:abstractNumId w:val="3"/>
  </w:num>
  <w:num w:numId="4" w16cid:durableId="1155955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AD"/>
    <w:rsid w:val="000341BB"/>
    <w:rsid w:val="0005481E"/>
    <w:rsid w:val="00064F97"/>
    <w:rsid w:val="00073CEC"/>
    <w:rsid w:val="000854B9"/>
    <w:rsid w:val="00085DC8"/>
    <w:rsid w:val="000D02F5"/>
    <w:rsid w:val="000E1416"/>
    <w:rsid w:val="000F5A28"/>
    <w:rsid w:val="00161B52"/>
    <w:rsid w:val="001806BD"/>
    <w:rsid w:val="00184034"/>
    <w:rsid w:val="00232E0F"/>
    <w:rsid w:val="00270C59"/>
    <w:rsid w:val="00280135"/>
    <w:rsid w:val="002920A7"/>
    <w:rsid w:val="002B127D"/>
    <w:rsid w:val="002D5385"/>
    <w:rsid w:val="002E4F4A"/>
    <w:rsid w:val="0031727A"/>
    <w:rsid w:val="00341E02"/>
    <w:rsid w:val="0034394E"/>
    <w:rsid w:val="003620E4"/>
    <w:rsid w:val="00394974"/>
    <w:rsid w:val="003D51E9"/>
    <w:rsid w:val="003D58A1"/>
    <w:rsid w:val="003E01AD"/>
    <w:rsid w:val="003F0F58"/>
    <w:rsid w:val="003F3089"/>
    <w:rsid w:val="00414E08"/>
    <w:rsid w:val="00415C74"/>
    <w:rsid w:val="004A1561"/>
    <w:rsid w:val="004B0A66"/>
    <w:rsid w:val="004D045F"/>
    <w:rsid w:val="004D2438"/>
    <w:rsid w:val="0055507D"/>
    <w:rsid w:val="00564B9E"/>
    <w:rsid w:val="005837A3"/>
    <w:rsid w:val="005837C8"/>
    <w:rsid w:val="005B1E07"/>
    <w:rsid w:val="005D1711"/>
    <w:rsid w:val="00604289"/>
    <w:rsid w:val="006238A4"/>
    <w:rsid w:val="00656CD4"/>
    <w:rsid w:val="00661256"/>
    <w:rsid w:val="00691CC9"/>
    <w:rsid w:val="006E561E"/>
    <w:rsid w:val="00706B5E"/>
    <w:rsid w:val="007234F7"/>
    <w:rsid w:val="00734590"/>
    <w:rsid w:val="00755576"/>
    <w:rsid w:val="00757C47"/>
    <w:rsid w:val="00766E82"/>
    <w:rsid w:val="007953A7"/>
    <w:rsid w:val="007A55ED"/>
    <w:rsid w:val="007D4D05"/>
    <w:rsid w:val="00830D61"/>
    <w:rsid w:val="00862843"/>
    <w:rsid w:val="008808E5"/>
    <w:rsid w:val="008841F1"/>
    <w:rsid w:val="0088484B"/>
    <w:rsid w:val="00933074"/>
    <w:rsid w:val="0095602D"/>
    <w:rsid w:val="009D31B4"/>
    <w:rsid w:val="00A05D14"/>
    <w:rsid w:val="00A9307D"/>
    <w:rsid w:val="00A95665"/>
    <w:rsid w:val="00AB13A8"/>
    <w:rsid w:val="00AB2B1A"/>
    <w:rsid w:val="00B120FB"/>
    <w:rsid w:val="00B45151"/>
    <w:rsid w:val="00B762CE"/>
    <w:rsid w:val="00B807CF"/>
    <w:rsid w:val="00B95141"/>
    <w:rsid w:val="00BD0798"/>
    <w:rsid w:val="00BD23AC"/>
    <w:rsid w:val="00BE337D"/>
    <w:rsid w:val="00C32703"/>
    <w:rsid w:val="00C729FF"/>
    <w:rsid w:val="00D32651"/>
    <w:rsid w:val="00D805C7"/>
    <w:rsid w:val="00DE6C26"/>
    <w:rsid w:val="00E13C90"/>
    <w:rsid w:val="00E42BCC"/>
    <w:rsid w:val="00E53CFB"/>
    <w:rsid w:val="00E90FC6"/>
    <w:rsid w:val="00E97C32"/>
    <w:rsid w:val="00EA5A63"/>
    <w:rsid w:val="00EB5AA2"/>
    <w:rsid w:val="00EC56CA"/>
    <w:rsid w:val="00ED173C"/>
    <w:rsid w:val="00ED32DD"/>
    <w:rsid w:val="00EE77E6"/>
    <w:rsid w:val="00EF117D"/>
    <w:rsid w:val="00F10AAC"/>
    <w:rsid w:val="00F26DCF"/>
    <w:rsid w:val="00FD1C16"/>
    <w:rsid w:val="00FE65DC"/>
    <w:rsid w:val="00FE6E2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8D98A"/>
  <w15:chartTrackingRefBased/>
  <w15:docId w15:val="{ACEDD5CB-9816-44AE-BE31-1DD8AF06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AD"/>
    <w:pPr>
      <w:ind w:left="720"/>
      <w:contextualSpacing/>
    </w:pPr>
  </w:style>
  <w:style w:type="table" w:styleId="TableGrid">
    <w:name w:val="Table Grid"/>
    <w:basedOn w:val="TableNormal"/>
    <w:uiPriority w:val="39"/>
    <w:rsid w:val="0095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920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0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135"/>
  </w:style>
  <w:style w:type="paragraph" w:styleId="Footer">
    <w:name w:val="footer"/>
    <w:basedOn w:val="Normal"/>
    <w:link w:val="FooterChar"/>
    <w:uiPriority w:val="99"/>
    <w:unhideWhenUsed/>
    <w:rsid w:val="00280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Louisa</dc:creator>
  <cp:keywords/>
  <dc:description/>
  <cp:lastModifiedBy>Elizabeth Stevenson</cp:lastModifiedBy>
  <cp:revision>2</cp:revision>
  <dcterms:created xsi:type="dcterms:W3CDTF">2023-03-14T15:47:00Z</dcterms:created>
  <dcterms:modified xsi:type="dcterms:W3CDTF">2023-03-14T15:47:00Z</dcterms:modified>
</cp:coreProperties>
</file>